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0AA8A" w14:textId="0FD3C334" w:rsidR="009522D3" w:rsidRPr="009522D3" w:rsidRDefault="009522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22D3">
        <w:rPr>
          <w:rFonts w:ascii="Times New Roman" w:hAnsi="Times New Roman" w:cs="Times New Roman"/>
          <w:sz w:val="24"/>
          <w:szCs w:val="24"/>
          <w:u w:val="single"/>
        </w:rPr>
        <w:t>Prijedlog odluke!</w:t>
      </w:r>
    </w:p>
    <w:p w14:paraId="07BF5E99" w14:textId="77777777" w:rsidR="009522D3" w:rsidRDefault="009522D3">
      <w:pPr>
        <w:rPr>
          <w:rFonts w:ascii="Times New Roman" w:hAnsi="Times New Roman" w:cs="Times New Roman"/>
          <w:sz w:val="24"/>
          <w:szCs w:val="24"/>
        </w:rPr>
      </w:pPr>
    </w:p>
    <w:p w14:paraId="55E281CE" w14:textId="386B4EEB" w:rsidR="00766872" w:rsidRDefault="00766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</w:t>
      </w:r>
      <w:r w:rsidR="009522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="00585735">
        <w:rPr>
          <w:rFonts w:ascii="Times New Roman" w:hAnsi="Times New Roman" w:cs="Times New Roman"/>
          <w:sz w:val="24"/>
          <w:szCs w:val="24"/>
        </w:rPr>
        <w:t xml:space="preserve">81. i </w:t>
      </w:r>
      <w:r>
        <w:rPr>
          <w:rFonts w:ascii="Times New Roman" w:hAnsi="Times New Roman" w:cs="Times New Roman"/>
          <w:sz w:val="24"/>
          <w:szCs w:val="24"/>
        </w:rPr>
        <w:t>82. Pravilnika o proračunskom računovodstvu i računskom planu ( NN br. 124/14, 115/15, 87/16, 3/18</w:t>
      </w:r>
      <w:r w:rsidR="00585735">
        <w:rPr>
          <w:rFonts w:ascii="Times New Roman" w:hAnsi="Times New Roman" w:cs="Times New Roman"/>
          <w:sz w:val="24"/>
          <w:szCs w:val="24"/>
        </w:rPr>
        <w:t xml:space="preserve"> i 126/19</w:t>
      </w:r>
      <w:r>
        <w:rPr>
          <w:rFonts w:ascii="Times New Roman" w:hAnsi="Times New Roman" w:cs="Times New Roman"/>
          <w:sz w:val="24"/>
          <w:szCs w:val="24"/>
        </w:rPr>
        <w:t xml:space="preserve">) te članka 31. Statuta općine Goričan (Službeni glasnik Međimurske županije br. 5/13 i 9/18) Općinsko vijeće općine Goričan na </w:t>
      </w:r>
      <w:r w:rsidR="00585735">
        <w:rPr>
          <w:rFonts w:ascii="Times New Roman" w:hAnsi="Times New Roman" w:cs="Times New Roman"/>
          <w:sz w:val="24"/>
          <w:szCs w:val="24"/>
        </w:rPr>
        <w:t>___</w:t>
      </w:r>
      <w:r w:rsidR="009C2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585735">
        <w:rPr>
          <w:rFonts w:ascii="Times New Roman" w:hAnsi="Times New Roman" w:cs="Times New Roman"/>
          <w:sz w:val="24"/>
          <w:szCs w:val="24"/>
        </w:rPr>
        <w:t>_______</w:t>
      </w:r>
      <w:r w:rsidR="009C29A5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6D9AAE79" w14:textId="77777777" w:rsidR="00766872" w:rsidRDefault="00766872">
      <w:pPr>
        <w:rPr>
          <w:rFonts w:ascii="Times New Roman" w:hAnsi="Times New Roman" w:cs="Times New Roman"/>
          <w:sz w:val="24"/>
          <w:szCs w:val="24"/>
        </w:rPr>
      </w:pPr>
    </w:p>
    <w:p w14:paraId="622454B6" w14:textId="77777777" w:rsidR="00766872" w:rsidRP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872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26D2B498" w14:textId="0BE06CBD"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87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85735">
        <w:rPr>
          <w:rFonts w:ascii="Times New Roman" w:hAnsi="Times New Roman" w:cs="Times New Roman"/>
          <w:b/>
          <w:bCs/>
          <w:sz w:val="24"/>
          <w:szCs w:val="24"/>
        </w:rPr>
        <w:t xml:space="preserve">utvrđivanju i </w:t>
      </w:r>
      <w:r w:rsidRPr="00766872">
        <w:rPr>
          <w:rFonts w:ascii="Times New Roman" w:hAnsi="Times New Roman" w:cs="Times New Roman"/>
          <w:b/>
          <w:bCs/>
          <w:sz w:val="24"/>
          <w:szCs w:val="24"/>
        </w:rPr>
        <w:t>raspodjeli rezultata poslovanja općine Goričan za 20</w:t>
      </w:r>
      <w:r w:rsidR="0058573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66872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7C66E2F6" w14:textId="77777777"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DFCF8" w14:textId="77777777"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37E647A" w14:textId="2283B699" w:rsidR="008B3F03" w:rsidRDefault="00766872" w:rsidP="00766872">
      <w:pPr>
        <w:rPr>
          <w:rFonts w:ascii="Times New Roman" w:hAnsi="Times New Roman" w:cs="Times New Roman"/>
          <w:sz w:val="24"/>
          <w:szCs w:val="24"/>
        </w:rPr>
      </w:pPr>
      <w:r w:rsidRPr="00766872">
        <w:rPr>
          <w:rFonts w:ascii="Times New Roman" w:hAnsi="Times New Roman" w:cs="Times New Roman"/>
          <w:sz w:val="24"/>
          <w:szCs w:val="24"/>
        </w:rPr>
        <w:t>Ovom se odlukom utvrđuje rezultat poslovanja</w:t>
      </w:r>
      <w:r>
        <w:rPr>
          <w:rFonts w:ascii="Times New Roman" w:hAnsi="Times New Roman" w:cs="Times New Roman"/>
          <w:sz w:val="24"/>
          <w:szCs w:val="24"/>
        </w:rPr>
        <w:t>, raspodjela rezultata poslovanja te način pokrića viška prihoda utvrđenog godišnjim izvještajem o izvršenju proračuna općine Goričan za 20</w:t>
      </w:r>
      <w:r w:rsidR="005857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.godinu</w:t>
      </w:r>
      <w:r w:rsidR="00836D37">
        <w:rPr>
          <w:rFonts w:ascii="Times New Roman" w:hAnsi="Times New Roman" w:cs="Times New Roman"/>
          <w:sz w:val="24"/>
          <w:szCs w:val="24"/>
        </w:rPr>
        <w:t>.</w:t>
      </w:r>
    </w:p>
    <w:p w14:paraId="42E16081" w14:textId="77777777" w:rsidR="008B3F03" w:rsidRDefault="008B3F03" w:rsidP="008B3F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F0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B4019F1" w14:textId="59631798"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</w:t>
      </w:r>
      <w:r w:rsidR="005857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.godine u proračunu općine Goričan ostvaren je pozitivan rezultat poslovanja u iznosu od </w:t>
      </w:r>
      <w:r w:rsidR="00585735">
        <w:rPr>
          <w:rFonts w:ascii="Times New Roman" w:hAnsi="Times New Roman" w:cs="Times New Roman"/>
          <w:sz w:val="24"/>
          <w:szCs w:val="24"/>
        </w:rPr>
        <w:t>1.</w:t>
      </w:r>
      <w:r w:rsidR="00E7784B">
        <w:rPr>
          <w:rFonts w:ascii="Times New Roman" w:hAnsi="Times New Roman" w:cs="Times New Roman"/>
          <w:sz w:val="24"/>
          <w:szCs w:val="24"/>
        </w:rPr>
        <w:t>171.837,00</w:t>
      </w:r>
      <w:r>
        <w:rPr>
          <w:rFonts w:ascii="Times New Roman" w:hAnsi="Times New Roman" w:cs="Times New Roman"/>
          <w:sz w:val="24"/>
          <w:szCs w:val="24"/>
        </w:rPr>
        <w:t xml:space="preserve"> kuna a utvrđen je na način kako je to propisano člancima 81. i 82. Pravilnika o proračunskom računovodstvu i računskom planu.</w:t>
      </w:r>
    </w:p>
    <w:p w14:paraId="45300DAA" w14:textId="665151E4"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je prebijanje računa viškova i manjkova po istovrsnim kategorijama</w:t>
      </w:r>
      <w:r w:rsidR="00585735">
        <w:rPr>
          <w:rFonts w:ascii="Times New Roman" w:hAnsi="Times New Roman" w:cs="Times New Roman"/>
          <w:sz w:val="24"/>
          <w:szCs w:val="24"/>
        </w:rPr>
        <w:t xml:space="preserve"> (višak prihoda poslovanja i manjak prihoda poslovanja, višak prihoda od nefinancijske imovine i manjak prihoda od nefinancijske imovine te višak primitaka od financijske imovine i manjak prihoda od financijske imovine)</w:t>
      </w:r>
      <w:r>
        <w:rPr>
          <w:rFonts w:ascii="Times New Roman" w:hAnsi="Times New Roman" w:cs="Times New Roman"/>
          <w:sz w:val="24"/>
          <w:szCs w:val="24"/>
        </w:rPr>
        <w:t xml:space="preserve"> uz izvršene obvezne korekcije rezultata</w:t>
      </w:r>
      <w:r w:rsidR="00585735">
        <w:rPr>
          <w:rFonts w:ascii="Times New Roman" w:hAnsi="Times New Roman" w:cs="Times New Roman"/>
          <w:sz w:val="24"/>
          <w:szCs w:val="24"/>
        </w:rPr>
        <w:t xml:space="preserve"> propisane člankom 82. Pravilnika.</w:t>
      </w:r>
    </w:p>
    <w:p w14:paraId="5F8907CD" w14:textId="03F038E1"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prethodne izvještajne godine (201</w:t>
      </w:r>
      <w:r w:rsidR="001F78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.) utvrđen je </w:t>
      </w:r>
      <w:r w:rsidR="001F7843">
        <w:rPr>
          <w:rFonts w:ascii="Times New Roman" w:hAnsi="Times New Roman" w:cs="Times New Roman"/>
          <w:sz w:val="24"/>
          <w:szCs w:val="24"/>
        </w:rPr>
        <w:t>pozitivan</w:t>
      </w:r>
      <w:r>
        <w:rPr>
          <w:rFonts w:ascii="Times New Roman" w:hAnsi="Times New Roman" w:cs="Times New Roman"/>
          <w:sz w:val="24"/>
          <w:szCs w:val="24"/>
        </w:rPr>
        <w:t xml:space="preserve"> rezultat poslovanja u iznosu od </w:t>
      </w:r>
      <w:r w:rsidR="001F7843">
        <w:rPr>
          <w:rFonts w:ascii="Times New Roman" w:hAnsi="Times New Roman" w:cs="Times New Roman"/>
          <w:sz w:val="24"/>
          <w:szCs w:val="24"/>
        </w:rPr>
        <w:t>12</w:t>
      </w:r>
      <w:r w:rsidR="00E7784B">
        <w:rPr>
          <w:rFonts w:ascii="Times New Roman" w:hAnsi="Times New Roman" w:cs="Times New Roman"/>
          <w:sz w:val="24"/>
          <w:szCs w:val="24"/>
        </w:rPr>
        <w:t>2.158,00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  <w:r w:rsidR="001F7843">
        <w:rPr>
          <w:rFonts w:ascii="Times New Roman" w:hAnsi="Times New Roman" w:cs="Times New Roman"/>
          <w:sz w:val="24"/>
          <w:szCs w:val="24"/>
        </w:rPr>
        <w:t xml:space="preserve"> Tijekom 2020.godine napravljena je korekcija rezultata poslovanja iz 2019.g. u visini od 143.500,00 kn, te je priznat pozitivan rezultat u visini od 341,35 kn tako da ukupni preneseni rezultat iznosi – </w:t>
      </w:r>
      <w:r w:rsidR="00E7784B">
        <w:rPr>
          <w:rFonts w:ascii="Times New Roman" w:hAnsi="Times New Roman" w:cs="Times New Roman"/>
          <w:sz w:val="24"/>
          <w:szCs w:val="24"/>
        </w:rPr>
        <w:t>21.001,00</w:t>
      </w:r>
      <w:r w:rsidR="001F7843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6FD2388" w14:textId="34533E18" w:rsidR="009F0507" w:rsidRDefault="009F050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poslovanja tekuće godine u iznosu od</w:t>
      </w:r>
      <w:r w:rsidR="00E7784B">
        <w:rPr>
          <w:rFonts w:ascii="Times New Roman" w:hAnsi="Times New Roman" w:cs="Times New Roman"/>
          <w:sz w:val="24"/>
          <w:szCs w:val="24"/>
        </w:rPr>
        <w:t xml:space="preserve"> 1.171.837,00</w:t>
      </w:r>
      <w:r>
        <w:rPr>
          <w:rFonts w:ascii="Times New Roman" w:hAnsi="Times New Roman" w:cs="Times New Roman"/>
          <w:sz w:val="24"/>
          <w:szCs w:val="24"/>
        </w:rPr>
        <w:t xml:space="preserve">  kn pribraja se rezultatu poslovanja iz prethodnih godina (-</w:t>
      </w:r>
      <w:r w:rsidR="00E7784B">
        <w:rPr>
          <w:rFonts w:ascii="Times New Roman" w:hAnsi="Times New Roman" w:cs="Times New Roman"/>
          <w:sz w:val="24"/>
          <w:szCs w:val="24"/>
        </w:rPr>
        <w:t>21.000,00</w:t>
      </w:r>
      <w:r>
        <w:rPr>
          <w:rFonts w:ascii="Times New Roman" w:hAnsi="Times New Roman" w:cs="Times New Roman"/>
          <w:sz w:val="24"/>
          <w:szCs w:val="24"/>
        </w:rPr>
        <w:t xml:space="preserve">) što čini ukupni rezultat poslovanja općine Goričan u iznosu od </w:t>
      </w:r>
      <w:r w:rsidR="00E7784B">
        <w:rPr>
          <w:rFonts w:ascii="Times New Roman" w:hAnsi="Times New Roman" w:cs="Times New Roman"/>
          <w:sz w:val="24"/>
          <w:szCs w:val="24"/>
        </w:rPr>
        <w:t>1.150.837,00</w:t>
      </w:r>
      <w:r>
        <w:rPr>
          <w:rFonts w:ascii="Times New Roman" w:hAnsi="Times New Roman" w:cs="Times New Roman"/>
          <w:sz w:val="24"/>
          <w:szCs w:val="24"/>
        </w:rPr>
        <w:t xml:space="preserve"> kuna (bez proračunskog korisnika).</w:t>
      </w:r>
    </w:p>
    <w:p w14:paraId="5848ED00" w14:textId="77777777" w:rsidR="009F0507" w:rsidRDefault="009F0507" w:rsidP="00836D37">
      <w:pPr>
        <w:rPr>
          <w:rFonts w:ascii="Times New Roman" w:hAnsi="Times New Roman" w:cs="Times New Roman"/>
          <w:sz w:val="24"/>
          <w:szCs w:val="24"/>
        </w:rPr>
      </w:pPr>
    </w:p>
    <w:p w14:paraId="00B8F59E" w14:textId="7881EDEA" w:rsidR="009F0507" w:rsidRDefault="009F0507" w:rsidP="009F0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0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B9129FD" w14:textId="53C2ECE6" w:rsidR="00E7784B" w:rsidRDefault="00E7784B" w:rsidP="00E77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ostvarenog rezultata poslovanja za 2020.godinu prikazana je u tabeli koja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7784B" w14:paraId="64A4CBC1" w14:textId="77777777" w:rsidTr="00E7784B">
        <w:tc>
          <w:tcPr>
            <w:tcW w:w="4957" w:type="dxa"/>
          </w:tcPr>
          <w:p w14:paraId="3B4C2640" w14:textId="1199D356" w:rsidR="00E7784B" w:rsidRDefault="00E7784B" w:rsidP="00E7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6357427"/>
            <w:r>
              <w:rPr>
                <w:rFonts w:ascii="Times New Roman" w:hAnsi="Times New Roman" w:cs="Times New Roman"/>
                <w:sz w:val="24"/>
                <w:szCs w:val="24"/>
              </w:rPr>
              <w:t>Višak prihoda poslovanja</w:t>
            </w:r>
          </w:p>
        </w:tc>
        <w:tc>
          <w:tcPr>
            <w:tcW w:w="4105" w:type="dxa"/>
          </w:tcPr>
          <w:p w14:paraId="736429CE" w14:textId="4802A38B" w:rsidR="00E7784B" w:rsidRDefault="00E7784B" w:rsidP="00E7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12.603.430,95 kn</w:t>
            </w:r>
          </w:p>
        </w:tc>
      </w:tr>
      <w:tr w:rsidR="00E7784B" w14:paraId="430BF876" w14:textId="77777777" w:rsidTr="00E7784B">
        <w:tc>
          <w:tcPr>
            <w:tcW w:w="4957" w:type="dxa"/>
          </w:tcPr>
          <w:p w14:paraId="21299823" w14:textId="519B1A5D" w:rsidR="00E7784B" w:rsidRDefault="00E7784B" w:rsidP="00E7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Manjak prihoda od nefinancijske imovine</w:t>
            </w:r>
          </w:p>
        </w:tc>
        <w:tc>
          <w:tcPr>
            <w:tcW w:w="4105" w:type="dxa"/>
          </w:tcPr>
          <w:p w14:paraId="53BE3534" w14:textId="31757BC5" w:rsidR="00E7784B" w:rsidRPr="00E7784B" w:rsidRDefault="00E7784B" w:rsidP="00E7784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16.494.704,10 kn</w:t>
            </w:r>
          </w:p>
        </w:tc>
      </w:tr>
      <w:tr w:rsidR="00E7784B" w14:paraId="468A22F2" w14:textId="77777777" w:rsidTr="00E7784B">
        <w:tc>
          <w:tcPr>
            <w:tcW w:w="4957" w:type="dxa"/>
          </w:tcPr>
          <w:p w14:paraId="3D47A846" w14:textId="0FD951D6" w:rsidR="00E7784B" w:rsidRDefault="00E7784B" w:rsidP="00E7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prihoda od financijske imovine</w:t>
            </w:r>
          </w:p>
        </w:tc>
        <w:tc>
          <w:tcPr>
            <w:tcW w:w="4105" w:type="dxa"/>
          </w:tcPr>
          <w:p w14:paraId="010F645E" w14:textId="7545A5FC" w:rsidR="00E7784B" w:rsidRDefault="00E7784B" w:rsidP="00E7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5.042.110,31 kn</w:t>
            </w:r>
          </w:p>
        </w:tc>
      </w:tr>
      <w:tr w:rsidR="00E7784B" w14:paraId="74C6DA55" w14:textId="77777777" w:rsidTr="00E7784B">
        <w:tc>
          <w:tcPr>
            <w:tcW w:w="4957" w:type="dxa"/>
          </w:tcPr>
          <w:p w14:paraId="1F0789F3" w14:textId="77777777" w:rsidR="00E7784B" w:rsidRPr="00E537B2" w:rsidRDefault="00E7784B" w:rsidP="00E7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B6B9E" w14:textId="3FB9A01E" w:rsidR="00E7784B" w:rsidRPr="00E537B2" w:rsidRDefault="00E7784B" w:rsidP="00E7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REZULTAT POSLOVANJA</w:t>
            </w:r>
          </w:p>
        </w:tc>
        <w:tc>
          <w:tcPr>
            <w:tcW w:w="4105" w:type="dxa"/>
          </w:tcPr>
          <w:p w14:paraId="11F26C66" w14:textId="77777777" w:rsidR="00E537B2" w:rsidRPr="00E537B2" w:rsidRDefault="00E537B2" w:rsidP="00E7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  <w:p w14:paraId="000C5934" w14:textId="5D6733A3" w:rsidR="00E7784B" w:rsidRPr="00E537B2" w:rsidRDefault="00E537B2" w:rsidP="00E7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1.150.837,16 kn</w:t>
            </w:r>
          </w:p>
        </w:tc>
      </w:tr>
      <w:bookmarkEnd w:id="0"/>
    </w:tbl>
    <w:p w14:paraId="2F8B18D8" w14:textId="77777777" w:rsidR="009F0507" w:rsidRPr="00836D37" w:rsidRDefault="009F0507" w:rsidP="00E537B2">
      <w:pPr>
        <w:rPr>
          <w:rFonts w:ascii="Times New Roman" w:hAnsi="Times New Roman" w:cs="Times New Roman"/>
          <w:sz w:val="24"/>
          <w:szCs w:val="24"/>
        </w:rPr>
      </w:pPr>
    </w:p>
    <w:p w14:paraId="0644F4E2" w14:textId="77777777" w:rsidR="008B3F03" w:rsidRDefault="0084198D" w:rsidP="009522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98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1A4302D" w14:textId="77777777" w:rsidR="006A04B6" w:rsidRDefault="0084198D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</w:t>
      </w:r>
      <w:r w:rsidR="006A04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.godine izvršiti će se preraspodjela rezultata na način kako je to dozvoljeno važećim proračunskim propisima</w:t>
      </w:r>
      <w:r w:rsidR="006A04B6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4417C93B" w14:textId="7409D031" w:rsidR="0084198D" w:rsidRDefault="006A04B6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1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manjak prihoda od nefinancijske imovine u visini od 6.953.843,22 kn</w:t>
      </w:r>
      <w:r w:rsidR="008D6203">
        <w:rPr>
          <w:rFonts w:ascii="Times New Roman" w:hAnsi="Times New Roman" w:cs="Times New Roman"/>
          <w:sz w:val="24"/>
          <w:szCs w:val="24"/>
        </w:rPr>
        <w:t xml:space="preserve"> (koji iznos predstavlja kredit korišten za izgradnju sportske dvorane) </w:t>
      </w:r>
      <w:r>
        <w:rPr>
          <w:rFonts w:ascii="Times New Roman" w:hAnsi="Times New Roman" w:cs="Times New Roman"/>
          <w:sz w:val="24"/>
          <w:szCs w:val="24"/>
        </w:rPr>
        <w:t xml:space="preserve"> prebiti će se sa viškom prihoda od financijske imovine te će se stvoriti manjak prihoda od financijske imovine u visini od 1.911.732,91 kn</w:t>
      </w:r>
    </w:p>
    <w:p w14:paraId="42C0289E" w14:textId="49F45EE2" w:rsidR="006A04B6" w:rsidRDefault="006A04B6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otplaćeni dio kredita za izgradnju sportske dvorane u visini od 1.506.665,94 kn koji predstavlja</w:t>
      </w:r>
      <w:r w:rsidR="008D6203">
        <w:rPr>
          <w:rFonts w:ascii="Times New Roman" w:hAnsi="Times New Roman" w:cs="Times New Roman"/>
          <w:sz w:val="24"/>
          <w:szCs w:val="24"/>
        </w:rPr>
        <w:t xml:space="preserve">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203">
        <w:rPr>
          <w:rFonts w:ascii="Times New Roman" w:hAnsi="Times New Roman" w:cs="Times New Roman"/>
          <w:sz w:val="24"/>
          <w:szCs w:val="24"/>
        </w:rPr>
        <w:t>manjka prihoda od financijske imovine pokriti će se viškom prihoda poslovanja te će se stvoriti manjak prihoda od financijske imovine u visini od 405.066,97 kn te višak prihoda poslovanja u visini od 11.096.765,01 kn</w:t>
      </w:r>
    </w:p>
    <w:p w14:paraId="2C58EAB5" w14:textId="7EFF9770" w:rsidR="008D6203" w:rsidRDefault="008D6203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rashode za nabavu nefinancijske imovine a koji su nastali u okviru EU projekata a pokriveni su iz kredita u visini od 1.969.405,69 kn smanjuje se manjak prihoda od nefinancijske imovine i preneseni višak prihoda poslovanja te će se stvoriti manjak prihoda od nefinancijske imovine u visini od 7.571.455,19 kn i višak prihoda poslovanja u visini od 9.127.359,32 kn</w:t>
      </w:r>
    </w:p>
    <w:p w14:paraId="2E61A504" w14:textId="46E4BBDA" w:rsidR="008D6203" w:rsidRDefault="008D6203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ostatak manjka od nefinancijske imovine u visini od 7.571.455,19 kn pokriti će se u cijelosti viškom prihoda poslovanja te će se stvoriti višak prihoda poslovanja u visini od 1.555.904,13 kn</w:t>
      </w:r>
    </w:p>
    <w:p w14:paraId="50078411" w14:textId="1C3790FA" w:rsidR="00D74F45" w:rsidRDefault="00D74F45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preostali dio manjka od financijske imovine u visini od 405.066,97 kn pokriva se u cijelosti viškom prihoda poslovanja te </w:t>
      </w:r>
      <w:r w:rsidR="00F75EFF">
        <w:rPr>
          <w:rFonts w:ascii="Times New Roman" w:hAnsi="Times New Roman" w:cs="Times New Roman"/>
          <w:sz w:val="24"/>
          <w:szCs w:val="24"/>
        </w:rPr>
        <w:t>će se stvoriti višak prihoda poslovanja u iznosu od 1.150.837,16 kn</w:t>
      </w:r>
    </w:p>
    <w:p w14:paraId="3A0AFFE7" w14:textId="5164818A" w:rsidR="00270A4D" w:rsidRDefault="00270A4D" w:rsidP="00270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izvršene preraspodjele konačna struktura proračunskog viška za 20</w:t>
      </w:r>
      <w:r w:rsidR="00F75E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.godinu prikazuje se kako slijedi:</w:t>
      </w:r>
    </w:p>
    <w:p w14:paraId="5308180F" w14:textId="264F4947" w:rsidR="00270A4D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92211 -</w:t>
      </w:r>
      <w:r w:rsidR="00270A4D">
        <w:rPr>
          <w:rFonts w:ascii="Times New Roman" w:hAnsi="Times New Roman" w:cs="Times New Roman"/>
          <w:sz w:val="24"/>
          <w:szCs w:val="24"/>
        </w:rPr>
        <w:t xml:space="preserve">Višak prihoda poslovanja: </w:t>
      </w:r>
      <w:r w:rsidR="00F75EFF">
        <w:rPr>
          <w:rFonts w:ascii="Times New Roman" w:hAnsi="Times New Roman" w:cs="Times New Roman"/>
          <w:sz w:val="24"/>
          <w:szCs w:val="24"/>
        </w:rPr>
        <w:t>1.150.837,16 kn</w:t>
      </w:r>
    </w:p>
    <w:p w14:paraId="788FDACD" w14:textId="087D77BD" w:rsidR="00EB50A4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92222 - Manjak prihoda od nefinancijske imovine: </w:t>
      </w:r>
      <w:r w:rsidR="00F75EFF">
        <w:rPr>
          <w:rFonts w:ascii="Times New Roman" w:hAnsi="Times New Roman" w:cs="Times New Roman"/>
          <w:sz w:val="24"/>
          <w:szCs w:val="24"/>
        </w:rPr>
        <w:t>0,00 kn</w:t>
      </w:r>
    </w:p>
    <w:p w14:paraId="41C9E521" w14:textId="568952CE" w:rsidR="00EB50A4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92223 - Manjak primitaka od financijske imovine i obveza: </w:t>
      </w:r>
      <w:r w:rsidR="00F75EFF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kn</w:t>
      </w:r>
    </w:p>
    <w:p w14:paraId="10868FD6" w14:textId="77777777"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</w:p>
    <w:p w14:paraId="1548C376" w14:textId="77777777" w:rsidR="00EB50A4" w:rsidRDefault="00EB50A4" w:rsidP="00EB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0A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37F3A9E" w14:textId="6CCA08D2"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</w:t>
      </w:r>
      <w:r w:rsidR="00F75EFF">
        <w:rPr>
          <w:rFonts w:ascii="Times New Roman" w:hAnsi="Times New Roman" w:cs="Times New Roman"/>
          <w:sz w:val="24"/>
          <w:szCs w:val="24"/>
        </w:rPr>
        <w:t>unski višak prihoda poslovanja u visini od 1.150.837,16</w:t>
      </w:r>
      <w:r>
        <w:rPr>
          <w:rFonts w:ascii="Times New Roman" w:hAnsi="Times New Roman" w:cs="Times New Roman"/>
          <w:sz w:val="24"/>
          <w:szCs w:val="24"/>
        </w:rPr>
        <w:t xml:space="preserve"> kuna uključiti će se u prve izmjene i dopune plana proračuna općine Goričan za 202</w:t>
      </w:r>
      <w:r w:rsidR="00F75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62F89471" w14:textId="77777777"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</w:p>
    <w:p w14:paraId="7563931B" w14:textId="77777777" w:rsidR="00EB50A4" w:rsidRDefault="00EB50A4" w:rsidP="00EB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0A4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80F6DC5" w14:textId="05C281CC" w:rsidR="005C2C59" w:rsidRDefault="00A00D2E" w:rsidP="00EB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odredbi Zakona o proračunu i uput</w:t>
      </w:r>
      <w:r w:rsidR="009522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Ministarstva financija za izradu proračuna jedinica lokalne i područne (regionalne) samouprave</w:t>
      </w:r>
      <w:r w:rsidR="00F75E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vlastiti i namjenski prihodi i primici proračunskih korisnika kao i njihovo trošenje moraju biti uključeni u proračun jedinica lokalne i područne samouprave. Slijedom navedenog, prihodi i primici te rashodi i izdaci Knjižnice i čitaonice Goričan uključeni su u godišnji izvještaj o izvršenju proračuna općine Goričan za 20</w:t>
      </w:r>
      <w:r w:rsidR="00F75EF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.g. te je ostvaren pozitivan rezultat poslovanja u iznosu od </w:t>
      </w:r>
      <w:r w:rsidR="00F75EFF">
        <w:rPr>
          <w:rFonts w:ascii="Times New Roman" w:hAnsi="Times New Roman" w:cs="Times New Roman"/>
          <w:sz w:val="24"/>
          <w:szCs w:val="24"/>
        </w:rPr>
        <w:t>1.156.198,86</w:t>
      </w:r>
      <w:r w:rsidR="005C2C59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52F2D4E3" w14:textId="77777777" w:rsidR="005C2C59" w:rsidRDefault="005C2C59" w:rsidP="00EB50A4">
      <w:pPr>
        <w:rPr>
          <w:rFonts w:ascii="Times New Roman" w:hAnsi="Times New Roman" w:cs="Times New Roman"/>
          <w:sz w:val="24"/>
          <w:szCs w:val="24"/>
        </w:rPr>
      </w:pPr>
    </w:p>
    <w:p w14:paraId="48DDFCC1" w14:textId="77777777" w:rsidR="00EB50A4" w:rsidRDefault="005C2C59" w:rsidP="005C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C59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07364E5C" w14:textId="77777777"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14:paraId="4968D585" w14:textId="77777777"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</w:p>
    <w:p w14:paraId="55D42EB3" w14:textId="474436D1"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522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Predsjednik Općinskog vijeća</w:t>
      </w:r>
    </w:p>
    <w:p w14:paraId="48106BA2" w14:textId="1FADDD9A"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C29A5">
        <w:rPr>
          <w:rFonts w:ascii="Times New Roman" w:hAnsi="Times New Roman" w:cs="Times New Roman"/>
          <w:sz w:val="24"/>
          <w:szCs w:val="24"/>
        </w:rPr>
        <w:t xml:space="preserve"> </w:t>
      </w:r>
      <w:r w:rsidR="009522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Stjepan Ribarić</w:t>
      </w:r>
    </w:p>
    <w:p w14:paraId="38FE0131" w14:textId="13167408" w:rsidR="005C2C59" w:rsidRP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</w:p>
    <w:p w14:paraId="03807864" w14:textId="77777777" w:rsidR="005C2C59" w:rsidRPr="00EB50A4" w:rsidRDefault="005C2C59" w:rsidP="005C2C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741A8" w14:textId="77777777" w:rsidR="00EB50A4" w:rsidRPr="00EB50A4" w:rsidRDefault="00EB50A4" w:rsidP="00EB5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EC61D" w14:textId="77777777" w:rsidR="00EB50A4" w:rsidRPr="00EB50A4" w:rsidRDefault="00EB50A4" w:rsidP="00EB50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50A4" w:rsidRPr="00EB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3B2"/>
    <w:multiLevelType w:val="hybridMultilevel"/>
    <w:tmpl w:val="2240752A"/>
    <w:lvl w:ilvl="0" w:tplc="362CB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806D38"/>
    <w:multiLevelType w:val="hybridMultilevel"/>
    <w:tmpl w:val="EAF42400"/>
    <w:lvl w:ilvl="0" w:tplc="CEB80CC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2"/>
    <w:rsid w:val="000544E2"/>
    <w:rsid w:val="00101030"/>
    <w:rsid w:val="001F7843"/>
    <w:rsid w:val="00270A4D"/>
    <w:rsid w:val="00585735"/>
    <w:rsid w:val="005C2C59"/>
    <w:rsid w:val="006A04B6"/>
    <w:rsid w:val="00766872"/>
    <w:rsid w:val="00836D37"/>
    <w:rsid w:val="0084198D"/>
    <w:rsid w:val="008B3F03"/>
    <w:rsid w:val="008D6203"/>
    <w:rsid w:val="009233B8"/>
    <w:rsid w:val="00936EEA"/>
    <w:rsid w:val="009522D3"/>
    <w:rsid w:val="009C29A5"/>
    <w:rsid w:val="009F0507"/>
    <w:rsid w:val="00A00D2E"/>
    <w:rsid w:val="00B0361D"/>
    <w:rsid w:val="00D74F45"/>
    <w:rsid w:val="00E537B2"/>
    <w:rsid w:val="00E7784B"/>
    <w:rsid w:val="00EB50A4"/>
    <w:rsid w:val="00F05C07"/>
    <w:rsid w:val="00F57263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E200"/>
  <w15:chartTrackingRefBased/>
  <w15:docId w15:val="{31FD2864-CF26-4174-B553-DE3BBB22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507"/>
    <w:pPr>
      <w:ind w:left="720"/>
      <w:contextualSpacing/>
    </w:pPr>
  </w:style>
  <w:style w:type="table" w:styleId="Reetkatablice">
    <w:name w:val="Table Grid"/>
    <w:basedOn w:val="Obinatablica"/>
    <w:uiPriority w:val="39"/>
    <w:rsid w:val="00E7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688F-F50D-41C4-A8CA-E11CA65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4</cp:revision>
  <cp:lastPrinted>2020-04-24T10:11:00Z</cp:lastPrinted>
  <dcterms:created xsi:type="dcterms:W3CDTF">2021-03-11T08:43:00Z</dcterms:created>
  <dcterms:modified xsi:type="dcterms:W3CDTF">2021-03-15T10:51:00Z</dcterms:modified>
</cp:coreProperties>
</file>